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A8D7" w14:textId="77777777" w:rsidR="00D4484E" w:rsidRDefault="00D4484E" w:rsidP="00D4484E">
      <w:pPr>
        <w:ind w:left="851"/>
      </w:pPr>
    </w:p>
    <w:p w14:paraId="24F3A8D8" w14:textId="5BB6A785" w:rsidR="00D4484E" w:rsidRDefault="00D4484E" w:rsidP="00D4484E">
      <w:pPr>
        <w:tabs>
          <w:tab w:val="left" w:pos="6804"/>
        </w:tabs>
        <w:ind w:left="851"/>
      </w:pPr>
      <w:r>
        <w:tab/>
      </w:r>
      <w:r w:rsidR="009A7C34">
        <w:t>2</w:t>
      </w:r>
      <w:r w:rsidR="00391C40">
        <w:t>022-02-2</w:t>
      </w:r>
      <w:r w:rsidR="0029404E">
        <w:t>8</w:t>
      </w:r>
    </w:p>
    <w:p w14:paraId="24F3A8D9" w14:textId="77777777" w:rsidR="00D4484E" w:rsidRDefault="00D4484E" w:rsidP="00D4484E">
      <w:pPr>
        <w:tabs>
          <w:tab w:val="left" w:pos="6804"/>
        </w:tabs>
        <w:spacing w:after="0"/>
        <w:ind w:left="851"/>
      </w:pPr>
      <w:r>
        <w:br/>
      </w:r>
    </w:p>
    <w:p w14:paraId="24F3A8DA" w14:textId="77777777" w:rsidR="00BA5D86" w:rsidRPr="00BA5D86" w:rsidRDefault="00BA5D86" w:rsidP="00BA5D86">
      <w:pPr>
        <w:tabs>
          <w:tab w:val="left" w:pos="6804"/>
        </w:tabs>
        <w:ind w:left="851"/>
        <w:rPr>
          <w:rFonts w:asciiTheme="minorHAnsi" w:hAnsiTheme="minorHAnsi" w:cstheme="minorHAnsi"/>
          <w:b/>
          <w:sz w:val="32"/>
          <w:szCs w:val="32"/>
        </w:rPr>
      </w:pPr>
      <w:r w:rsidRPr="00BA5D86">
        <w:rPr>
          <w:rFonts w:asciiTheme="minorHAnsi" w:hAnsiTheme="minorHAnsi" w:cstheme="minorHAnsi"/>
          <w:b/>
          <w:sz w:val="32"/>
          <w:szCs w:val="32"/>
        </w:rPr>
        <w:t xml:space="preserve">Yttrande från TULL-KUST </w:t>
      </w:r>
    </w:p>
    <w:p w14:paraId="24F3A8DB" w14:textId="4ED747A1" w:rsidR="00D4484E" w:rsidRPr="00865BF8" w:rsidRDefault="00BA5D86" w:rsidP="00BA5D86">
      <w:pPr>
        <w:tabs>
          <w:tab w:val="left" w:pos="6804"/>
        </w:tabs>
        <w:ind w:left="851"/>
        <w:rPr>
          <w:rFonts w:asciiTheme="minorHAnsi" w:hAnsiTheme="minorHAnsi" w:cstheme="minorHAnsi"/>
          <w:b/>
          <w:sz w:val="56"/>
          <w:szCs w:val="56"/>
        </w:rPr>
      </w:pPr>
      <w:r w:rsidRPr="00BA5D86">
        <w:rPr>
          <w:rFonts w:asciiTheme="minorHAnsi" w:hAnsiTheme="minorHAnsi" w:cstheme="minorHAnsi"/>
          <w:b/>
          <w:sz w:val="32"/>
          <w:szCs w:val="32"/>
        </w:rPr>
        <w:t xml:space="preserve">Kustbevakningens budgetunderlag för åren </w:t>
      </w:r>
      <w:proofErr w:type="gramStart"/>
      <w:r w:rsidRPr="00BA5D86">
        <w:rPr>
          <w:rFonts w:asciiTheme="minorHAnsi" w:hAnsiTheme="minorHAnsi" w:cstheme="minorHAnsi"/>
          <w:b/>
          <w:sz w:val="32"/>
          <w:szCs w:val="32"/>
        </w:rPr>
        <w:t>202</w:t>
      </w:r>
      <w:r w:rsidR="00583C7F">
        <w:rPr>
          <w:rFonts w:asciiTheme="minorHAnsi" w:hAnsiTheme="minorHAnsi" w:cstheme="minorHAnsi"/>
          <w:b/>
          <w:sz w:val="32"/>
          <w:szCs w:val="32"/>
        </w:rPr>
        <w:t>3</w:t>
      </w:r>
      <w:r w:rsidRPr="00BA5D86">
        <w:rPr>
          <w:rFonts w:asciiTheme="minorHAnsi" w:hAnsiTheme="minorHAnsi" w:cstheme="minorHAnsi"/>
          <w:b/>
          <w:sz w:val="32"/>
          <w:szCs w:val="32"/>
        </w:rPr>
        <w:t>-202</w:t>
      </w:r>
      <w:r w:rsidR="00583C7F">
        <w:rPr>
          <w:rFonts w:asciiTheme="minorHAnsi" w:hAnsiTheme="minorHAnsi" w:cstheme="minorHAnsi"/>
          <w:b/>
          <w:sz w:val="32"/>
          <w:szCs w:val="32"/>
        </w:rPr>
        <w:t>5</w:t>
      </w:r>
      <w:proofErr w:type="gramEnd"/>
    </w:p>
    <w:p w14:paraId="24F3A8DC" w14:textId="7DB48810" w:rsidR="00BA5D86" w:rsidRDefault="00BA5D86" w:rsidP="00BA5D86">
      <w:pPr>
        <w:ind w:left="851"/>
      </w:pPr>
      <w:r>
        <w:t xml:space="preserve">TULL-KUST delar i allt väsentligt budgetunderlaget för åren </w:t>
      </w:r>
      <w:proofErr w:type="gramStart"/>
      <w:r>
        <w:t>202</w:t>
      </w:r>
      <w:r w:rsidR="00583C7F">
        <w:t>3</w:t>
      </w:r>
      <w:r>
        <w:t>-202</w:t>
      </w:r>
      <w:r w:rsidR="00583C7F">
        <w:t>5</w:t>
      </w:r>
      <w:proofErr w:type="gramEnd"/>
      <w:r>
        <w:t xml:space="preserve"> och Kustbevakningens hemställan om ett ökat årligt anslag. </w:t>
      </w:r>
    </w:p>
    <w:p w14:paraId="24F3A8DE" w14:textId="3DAA61EA" w:rsidR="00BA5D86" w:rsidRDefault="00BA5D86" w:rsidP="008F48D4">
      <w:pPr>
        <w:ind w:left="851"/>
      </w:pPr>
      <w:r>
        <w:t xml:space="preserve">Kustbevakningen har </w:t>
      </w:r>
      <w:r w:rsidR="00202A63">
        <w:t xml:space="preserve">länge haft </w:t>
      </w:r>
      <w:r>
        <w:t>ett akut behov av ökade resurser för att bibehålla nuvarande ambitionsnivå. I detta och i de t</w:t>
      </w:r>
      <w:r w:rsidR="00202A63">
        <w:t>re</w:t>
      </w:r>
      <w:r>
        <w:t xml:space="preserve"> föregående årens budgetäskanden, som Kustbevakningen lämnat till regeringen, framgår att myndigheten idag har för lite personal för att säkerställa de förmågor och kompetenser som uppdraget kräver. </w:t>
      </w:r>
      <w:r w:rsidR="00FF5911">
        <w:t xml:space="preserve">Det är positivt att riksdagen hösten 2021 beslutade att öka anslaget till Kustbevakningen för budgetåret 2022. </w:t>
      </w:r>
      <w:r>
        <w:t xml:space="preserve">Den anslagna budgeten för myndigheten är </w:t>
      </w:r>
      <w:r w:rsidR="00FF5911">
        <w:t xml:space="preserve">dock </w:t>
      </w:r>
      <w:r w:rsidR="00944293">
        <w:t xml:space="preserve">långsiktigt </w:t>
      </w:r>
      <w:r>
        <w:t>inte tillräcklig i förhållande till det uppdrag som myndigheten har</w:t>
      </w:r>
      <w:r w:rsidR="00166DAA">
        <w:t xml:space="preserve">. </w:t>
      </w:r>
      <w:r>
        <w:t xml:space="preserve"> </w:t>
      </w:r>
      <w:r w:rsidR="00AC4618">
        <w:t xml:space="preserve">Parallellt med detta har </w:t>
      </w:r>
      <w:r w:rsidR="00CE5092">
        <w:t>S</w:t>
      </w:r>
      <w:r>
        <w:t>tatens och det allmännas förväntan</w:t>
      </w:r>
      <w:r w:rsidR="00CE5092">
        <w:t xml:space="preserve"> succesivt</w:t>
      </w:r>
      <w:r w:rsidR="00AC4618">
        <w:t xml:space="preserve"> </w:t>
      </w:r>
      <w:r>
        <w:t>öka</w:t>
      </w:r>
      <w:r w:rsidR="00CE5092">
        <w:t>t</w:t>
      </w:r>
      <w:r>
        <w:t xml:space="preserve"> på att Kustbevakningen ska utföra ytterligare resurskrävande uppgifter inom </w:t>
      </w:r>
      <w:proofErr w:type="gramStart"/>
      <w:r>
        <w:t>bl.a.</w:t>
      </w:r>
      <w:proofErr w:type="gramEnd"/>
      <w:r>
        <w:t xml:space="preserve"> totalförsvaret och när det gäller miljökatastrofer</w:t>
      </w:r>
      <w:r w:rsidR="009E437A">
        <w:t>. D</w:t>
      </w:r>
      <w:r w:rsidR="006F28CB">
        <w:t>et</w:t>
      </w:r>
      <w:r w:rsidR="00CE5092">
        <w:t xml:space="preserve"> </w:t>
      </w:r>
      <w:r w:rsidR="006F28CB">
        <w:t xml:space="preserve">förändrade </w:t>
      </w:r>
      <w:r w:rsidR="009E437A">
        <w:t>säkerhets</w:t>
      </w:r>
      <w:r w:rsidR="006F28CB">
        <w:t xml:space="preserve">läget och </w:t>
      </w:r>
      <w:r w:rsidR="007512BE">
        <w:t>den ryska invasionen</w:t>
      </w:r>
      <w:r w:rsidR="006F28CB">
        <w:t xml:space="preserve"> </w:t>
      </w:r>
      <w:r w:rsidR="00524107">
        <w:t>av</w:t>
      </w:r>
      <w:r w:rsidR="006F28CB">
        <w:t xml:space="preserve"> Ukraina </w:t>
      </w:r>
      <w:r w:rsidR="00CE5092">
        <w:t xml:space="preserve">kommer </w:t>
      </w:r>
      <w:r w:rsidR="006F28CB">
        <w:t xml:space="preserve">att </w:t>
      </w:r>
      <w:r w:rsidR="00A21337">
        <w:t xml:space="preserve">ställa än högre krav på Kustbevakningens arbete. </w:t>
      </w:r>
    </w:p>
    <w:p w14:paraId="4811A4AD" w14:textId="2C798CB1" w:rsidR="008F48D4" w:rsidRDefault="008F48D4" w:rsidP="00116252">
      <w:pPr>
        <w:ind w:left="851"/>
      </w:pPr>
      <w:r>
        <w:t xml:space="preserve">Det är </w:t>
      </w:r>
      <w:r w:rsidR="0071048F">
        <w:t>därför</w:t>
      </w:r>
      <w:r>
        <w:t xml:space="preserve"> av yttersta vikt att ökningen kvarstår över tid</w:t>
      </w:r>
      <w:r w:rsidR="00C13F60">
        <w:t xml:space="preserve">, inte minst </w:t>
      </w:r>
      <w:r w:rsidR="00653FFC">
        <w:t>då</w:t>
      </w:r>
      <w:r>
        <w:t xml:space="preserve"> den stora utmaningen är personalresurser och det </w:t>
      </w:r>
      <w:r w:rsidR="00653FFC">
        <w:t xml:space="preserve">cirka två år från det att aspiranter antagits till dess att de har </w:t>
      </w:r>
      <w:r>
        <w:t>komm</w:t>
      </w:r>
      <w:r w:rsidR="00D136CE">
        <w:t>it</w:t>
      </w:r>
      <w:r>
        <w:t xml:space="preserve"> in i verksamheten.  </w:t>
      </w:r>
    </w:p>
    <w:p w14:paraId="24F3A8DF" w14:textId="68FB6A52" w:rsidR="00BA5D86" w:rsidRPr="00BA5D86" w:rsidRDefault="009D0077" w:rsidP="00BA5D86">
      <w:pPr>
        <w:ind w:left="851"/>
        <w:rPr>
          <w:b/>
        </w:rPr>
      </w:pPr>
      <w:r>
        <w:rPr>
          <w:b/>
        </w:rPr>
        <w:t xml:space="preserve">Avgörande är att </w:t>
      </w:r>
      <w:r w:rsidR="006236BF">
        <w:rPr>
          <w:b/>
        </w:rPr>
        <w:t>Kustbevakningen undvik</w:t>
      </w:r>
      <w:r>
        <w:rPr>
          <w:b/>
        </w:rPr>
        <w:t>er</w:t>
      </w:r>
      <w:r w:rsidR="006236BF">
        <w:rPr>
          <w:b/>
        </w:rPr>
        <w:t xml:space="preserve"> att tappa personal</w:t>
      </w:r>
      <w:r w:rsidR="00BA5D86" w:rsidRPr="00BA5D86">
        <w:rPr>
          <w:b/>
        </w:rPr>
        <w:t>.</w:t>
      </w:r>
      <w:r w:rsidR="00BA5D86">
        <w:t xml:space="preserve"> </w:t>
      </w:r>
      <w:r w:rsidR="00BA5D86" w:rsidRPr="00BA5D86">
        <w:rPr>
          <w:b/>
        </w:rPr>
        <w:t xml:space="preserve">Det finns ett akut behov av att öka antalet anställda i den operativa verksamheten med 200 fler kustbevakare. </w:t>
      </w:r>
    </w:p>
    <w:p w14:paraId="24F3A8E0" w14:textId="77777777" w:rsidR="00BA5D86" w:rsidRDefault="00BA5D86" w:rsidP="00BA5D86">
      <w:pPr>
        <w:ind w:left="851"/>
      </w:pPr>
      <w:r>
        <w:t xml:space="preserve">Det krävs årligt intag till aspirantutbildningen. Personal är, tillsammans med material och utrustning, kustbevakningens viktigaste resurs. </w:t>
      </w:r>
      <w:r w:rsidR="00E615A0">
        <w:t>M</w:t>
      </w:r>
      <w:r>
        <w:t>ed stora pensionsavgångar som sker här och nu, är det viktigt att få in en kontinuerlig ström av nya kustbevakare till myndigheten. De senaste åren ser vi tyvärr att antalet nyutexaminerade aspiranter inte räcker till för en utökning av antalet Kustbevakare. Dubbla klasser med aspiranter är ett måste för att bibehålla nuvarande och framtida verksamhet.</w:t>
      </w:r>
    </w:p>
    <w:p w14:paraId="24F3A8E2" w14:textId="4ADF4914" w:rsidR="00BA5D86" w:rsidRDefault="00BA5D86" w:rsidP="00C07D51">
      <w:pPr>
        <w:ind w:left="851"/>
      </w:pPr>
      <w:r>
        <w:t xml:space="preserve">För att Kustbevakningen ska kunna klara sin nuvarande verksamhet enligt instruktion och regleringsbrev med bibehållen förmåga samt kunna ta sig an nya uppgifter inom främst krisberedskap och totalförsvar </w:t>
      </w:r>
      <w:r w:rsidR="00F9110E">
        <w:t>utan att riskera Kustbevakarnas säkerhet i arbetet</w:t>
      </w:r>
      <w:r w:rsidR="008A630B">
        <w:t xml:space="preserve"> </w:t>
      </w:r>
      <w:r>
        <w:t>krävs en avsevärd resursförstärkning.</w:t>
      </w:r>
      <w:r w:rsidR="000C6762">
        <w:t xml:space="preserve"> </w:t>
      </w:r>
      <w:r w:rsidR="00ED7860">
        <w:t>Det är</w:t>
      </w:r>
      <w:r w:rsidR="00C07D51">
        <w:t xml:space="preserve"> därför</w:t>
      </w:r>
      <w:r w:rsidR="00ED7860">
        <w:t xml:space="preserve"> positivt att Kustbevakningen tillfälligt fått ökade resurser, men o</w:t>
      </w:r>
      <w:r>
        <w:t xml:space="preserve">m situationen inte löses långsiktigt är risken att Kustbevakningen inte kommer att kunna fullgöra sitt uppdrag och i förlängningen kommer heller inte Sverige att kunna leva upp till åtaganden inom ramen för EU-samarbetet när det gäller </w:t>
      </w:r>
      <w:proofErr w:type="gramStart"/>
      <w:r>
        <w:t>t.ex.</w:t>
      </w:r>
      <w:proofErr w:type="gramEnd"/>
      <w:r>
        <w:t xml:space="preserve"> deltagande i FRONTEX. </w:t>
      </w:r>
      <w:r w:rsidR="00130A25">
        <w:t>Kraven på Kustbevakningen</w:t>
      </w:r>
      <w:r w:rsidR="00506BC8">
        <w:t xml:space="preserve"> kommer inte minska</w:t>
      </w:r>
      <w:r w:rsidR="00D04DE2">
        <w:t>, snarare tvärtom</w:t>
      </w:r>
      <w:r w:rsidR="00AA7767">
        <w:t>. Tull-Kust vill därför understryka att de</w:t>
      </w:r>
      <w:r w:rsidR="00C14E1D">
        <w:t xml:space="preserve">n </w:t>
      </w:r>
      <w:r w:rsidR="00AA7767">
        <w:t xml:space="preserve">långsiktiga </w:t>
      </w:r>
      <w:r w:rsidR="00C14E1D">
        <w:t>finansieringen</w:t>
      </w:r>
      <w:r w:rsidR="00AA7767">
        <w:t xml:space="preserve"> av</w:t>
      </w:r>
      <w:r w:rsidR="00E26EC0">
        <w:t xml:space="preserve"> </w:t>
      </w:r>
      <w:r w:rsidR="00AA7767">
        <w:t>Kustbevakningen</w:t>
      </w:r>
      <w:r w:rsidR="00E26EC0">
        <w:t>s ökade behov</w:t>
      </w:r>
      <w:r w:rsidR="00AA7767">
        <w:t xml:space="preserve"> behöver säkras.</w:t>
      </w:r>
    </w:p>
    <w:p w14:paraId="24F3A8E3" w14:textId="73036884" w:rsidR="00BA5D86" w:rsidRDefault="00BA5D86" w:rsidP="00BA5D86">
      <w:pPr>
        <w:ind w:left="851"/>
      </w:pPr>
      <w:r>
        <w:t xml:space="preserve">Kustbevakningen är samhällets plattform till sjöss som dygnet runt, året om finns på plats längs hela Sveriges kust och stora insjöar. </w:t>
      </w:r>
      <w:r w:rsidR="00E615A0">
        <w:t>K</w:t>
      </w:r>
      <w:r>
        <w:t xml:space="preserve">ustbevakningen räddar, hjälper, övervakar och motverkar brott. Kraven på och uppdragen till Kustbevakningen har ändrats och utökats. </w:t>
      </w:r>
    </w:p>
    <w:p w14:paraId="24F3A8E4" w14:textId="77777777" w:rsidR="00BA5D86" w:rsidRDefault="00BA5D86" w:rsidP="00BA5D86">
      <w:pPr>
        <w:ind w:left="851"/>
      </w:pPr>
      <w:r>
        <w:t xml:space="preserve">Om Kustbevakningen inte har tillräckligt med resurser kan myndigheten i värsta fall tvingas säga upp personal eller sälja av material, som exempelvis fartyg. Kraft och resurser får läggas på avveckling och omstrukturering. Det som raseras tar tid att bygga upp igen. </w:t>
      </w:r>
    </w:p>
    <w:p w14:paraId="24F3A8E5" w14:textId="77777777" w:rsidR="00BA5D86" w:rsidRDefault="00BA5D86" w:rsidP="00BA5D86">
      <w:pPr>
        <w:ind w:left="851"/>
      </w:pPr>
      <w:r>
        <w:t xml:space="preserve">Kuststationer måste läggas ned vilket påverkar samhällets säkerhet och det är långa beställningstider för att införskaffa nya fartyg och flygplan. </w:t>
      </w:r>
    </w:p>
    <w:p w14:paraId="24F3A8E6" w14:textId="416C59EC" w:rsidR="00BA5D86" w:rsidRDefault="00BA5D86" w:rsidP="00BA5D86">
      <w:pPr>
        <w:ind w:left="851"/>
      </w:pPr>
      <w:r>
        <w:t>Kustbevakningen behöver</w:t>
      </w:r>
      <w:r w:rsidR="00554BBD">
        <w:t xml:space="preserve"> långsiktiga</w:t>
      </w:r>
      <w:r>
        <w:t xml:space="preserve"> resursförstärkning</w:t>
      </w:r>
      <w:r w:rsidR="00554BBD">
        <w:t>ar</w:t>
      </w:r>
      <w:r>
        <w:t xml:space="preserve"> för att kunna avsätta tillräckliga personella resurser och därmed säkerställa nuvarande verkningsgrad och fortsatt planering, utbildning och förberedelser för beredskapshöjande åtgärder. </w:t>
      </w:r>
      <w:r w:rsidR="008475F1">
        <w:t xml:space="preserve">I dag </w:t>
      </w:r>
      <w:r>
        <w:t>lappa</w:t>
      </w:r>
      <w:r w:rsidR="008475F1">
        <w:t>s</w:t>
      </w:r>
      <w:r>
        <w:t xml:space="preserve"> och laga</w:t>
      </w:r>
      <w:r w:rsidR="008475F1">
        <w:t>s</w:t>
      </w:r>
      <w:r>
        <w:t xml:space="preserve"> materiel</w:t>
      </w:r>
      <w:r w:rsidR="008475F1">
        <w:t>,</w:t>
      </w:r>
      <w:r>
        <w:t xml:space="preserve"> vilket är dyrt och ineffektivt. Kustbevakningen måste</w:t>
      </w:r>
      <w:r w:rsidR="00987AD7">
        <w:t xml:space="preserve"> få möjlighet att</w:t>
      </w:r>
      <w:r>
        <w:t xml:space="preserve"> investera i nya fartyg, flygplan och materiel. </w:t>
      </w:r>
    </w:p>
    <w:p w14:paraId="24F3A8E7" w14:textId="668955B8" w:rsidR="00BA5D86" w:rsidRDefault="00BA5D86" w:rsidP="00BA5D86">
      <w:pPr>
        <w:ind w:left="851"/>
      </w:pPr>
      <w:r>
        <w:t>Det behövs ett helhetsgrepp och en långsiktighet i anslagen. Andra myndigheter är beroende av Kustbevakningens verksamhet</w:t>
      </w:r>
      <w:r w:rsidR="00055A5A">
        <w:t xml:space="preserve">, om Kustbevakningen inte har förutsättningar att utföra sitt uppdrag </w:t>
      </w:r>
      <w:r w:rsidR="000C4AD1">
        <w:t xml:space="preserve">blir det en dominoeffekt som </w:t>
      </w:r>
      <w:r w:rsidR="00055A5A">
        <w:t xml:space="preserve">kommer </w:t>
      </w:r>
      <w:r w:rsidR="00BC6054">
        <w:t>påverka flertalet andra samhällsviktiga myndigheter</w:t>
      </w:r>
      <w:r w:rsidR="000C4AD1">
        <w:t>, inklusive Polisen, Tullen</w:t>
      </w:r>
      <w:r w:rsidR="00640284">
        <w:t>, Försvarsmakten</w:t>
      </w:r>
      <w:r w:rsidR="000C4AD1">
        <w:t xml:space="preserve"> och HAV</w:t>
      </w:r>
      <w:r>
        <w:t>. Genom att stärka Kustbevakningen stärks gränsskyddet mot illegal import av farliga varor, skyddet mot vattenföroreningar i våra stora sjövattentäkter Vänern och Mälaren. Även Kustbevakningens landverksamhet som det Farliga Godset och transportsäkerheten till och från sjögående transportverksamhet</w:t>
      </w:r>
      <w:r w:rsidR="00E615A0">
        <w:t xml:space="preserve"> påverkas negativt.</w:t>
      </w:r>
    </w:p>
    <w:p w14:paraId="24F3A8E8" w14:textId="77777777" w:rsidR="00BA5D86" w:rsidRDefault="00BA5D86" w:rsidP="00BA5D86">
      <w:pPr>
        <w:ind w:left="851"/>
      </w:pPr>
    </w:p>
    <w:p w14:paraId="24F3A8E9" w14:textId="77777777" w:rsidR="00BA5D86" w:rsidRDefault="00BA5D86" w:rsidP="00BA5D86">
      <w:pPr>
        <w:ind w:left="851"/>
      </w:pPr>
      <w:r>
        <w:t>Johan Lindgren</w:t>
      </w:r>
    </w:p>
    <w:p w14:paraId="24F3A8EA" w14:textId="77777777" w:rsidR="00BA5D86" w:rsidRDefault="00BA5D86" w:rsidP="00BA5D86">
      <w:pPr>
        <w:ind w:left="851"/>
      </w:pPr>
      <w:r>
        <w:t xml:space="preserve">Förbundsordförande </w:t>
      </w:r>
    </w:p>
    <w:p w14:paraId="24F3A8EB" w14:textId="77777777" w:rsidR="00D4484E" w:rsidRDefault="00BA5D86" w:rsidP="00BA5D86">
      <w:pPr>
        <w:ind w:left="851"/>
      </w:pPr>
      <w:r>
        <w:t>TULL-KUST</w:t>
      </w:r>
    </w:p>
    <w:p w14:paraId="24F3A8EC" w14:textId="77777777" w:rsidR="00D4484E" w:rsidRDefault="00D4484E" w:rsidP="00D4484E">
      <w:pPr>
        <w:ind w:left="851"/>
      </w:pPr>
    </w:p>
    <w:p w14:paraId="24F3A8ED" w14:textId="77777777" w:rsidR="00B76915" w:rsidRDefault="00B76915" w:rsidP="00D4484E">
      <w:pPr>
        <w:ind w:left="851"/>
      </w:pPr>
    </w:p>
    <w:sectPr w:rsidR="00B76915" w:rsidSect="006C2E8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6B4A" w14:textId="77777777" w:rsidR="004D79F8" w:rsidRDefault="004D79F8" w:rsidP="006C2E89">
      <w:pPr>
        <w:spacing w:after="0" w:line="240" w:lineRule="auto"/>
      </w:pPr>
      <w:r>
        <w:separator/>
      </w:r>
    </w:p>
  </w:endnote>
  <w:endnote w:type="continuationSeparator" w:id="0">
    <w:p w14:paraId="3BF3A4E1" w14:textId="77777777" w:rsidR="004D79F8" w:rsidRDefault="004D79F8" w:rsidP="006C2E89">
      <w:pPr>
        <w:spacing w:after="0" w:line="240" w:lineRule="auto"/>
      </w:pPr>
      <w:r>
        <w:continuationSeparator/>
      </w:r>
    </w:p>
  </w:endnote>
  <w:endnote w:type="continuationNotice" w:id="1">
    <w:p w14:paraId="32BCD2E5" w14:textId="77777777" w:rsidR="004D79F8" w:rsidRDefault="004D7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A8F4" w14:textId="77777777" w:rsidR="006C2E89" w:rsidRDefault="006C2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A8F5" w14:textId="77777777" w:rsidR="006C2E89" w:rsidRDefault="006C2E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A8F7" w14:textId="77777777" w:rsidR="006C2E89" w:rsidRDefault="006C2E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10F9" w14:textId="77777777" w:rsidR="004D79F8" w:rsidRDefault="004D79F8" w:rsidP="006C2E89">
      <w:pPr>
        <w:spacing w:after="0" w:line="240" w:lineRule="auto"/>
      </w:pPr>
      <w:r>
        <w:separator/>
      </w:r>
    </w:p>
  </w:footnote>
  <w:footnote w:type="continuationSeparator" w:id="0">
    <w:p w14:paraId="5CD9E42E" w14:textId="77777777" w:rsidR="004D79F8" w:rsidRDefault="004D79F8" w:rsidP="006C2E89">
      <w:pPr>
        <w:spacing w:after="0" w:line="240" w:lineRule="auto"/>
      </w:pPr>
      <w:r>
        <w:continuationSeparator/>
      </w:r>
    </w:p>
  </w:footnote>
  <w:footnote w:type="continuationNotice" w:id="1">
    <w:p w14:paraId="3FA22021" w14:textId="77777777" w:rsidR="004D79F8" w:rsidRDefault="004D79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A8F2" w14:textId="77777777" w:rsidR="006C2E89" w:rsidRDefault="004D79F8">
    <w:pPr>
      <w:pStyle w:val="Sidhuvud"/>
    </w:pPr>
    <w:r>
      <w:rPr>
        <w:noProof/>
        <w:lang w:eastAsia="sv-SE"/>
      </w:rPr>
      <w:pict w14:anchorId="24F3A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450016" o:spid="_x0000_s1026" type="#_x0000_t75" style="position:absolute;margin-left:0;margin-top:0;width:595.5pt;height:842.25pt;z-index:-251658239;mso-position-horizontal:center;mso-position-horizontal-relative:margin;mso-position-vertical:center;mso-position-vertical-relative:margin" o:allowincell="f">
          <v:imagedata r:id="rId1" o:title="Bakgrund brevmall_guld_liten grip och grind samt flyttad sidfot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A8F3" w14:textId="77777777" w:rsidR="006C2E89" w:rsidRDefault="004D79F8">
    <w:pPr>
      <w:pStyle w:val="Sidhuvud"/>
    </w:pPr>
    <w:r>
      <w:rPr>
        <w:noProof/>
        <w:lang w:eastAsia="sv-SE"/>
      </w:rPr>
      <w:pict w14:anchorId="24F3A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450017" o:spid="_x0000_s1027" type="#_x0000_t75" style="position:absolute;margin-left:0;margin-top:0;width:595.5pt;height:842.25pt;z-index:-251658238;mso-position-horizontal:center;mso-position-horizontal-relative:margin;mso-position-vertical:center;mso-position-vertical-relative:margin" o:allowincell="f">
          <v:imagedata r:id="rId1" o:title="Bakgrund brevmall_guld_liten grip och grind samt flyttad sidfot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A8F6" w14:textId="77777777" w:rsidR="006C2E89" w:rsidRDefault="006C2E89">
    <w:pPr>
      <w:pStyle w:val="Sidhuvud"/>
    </w:pPr>
    <w:r>
      <w:rPr>
        <w:noProof/>
        <w:lang w:eastAsia="sv-SE"/>
      </w:rPr>
      <w:drawing>
        <wp:anchor distT="0" distB="0" distL="114300" distR="114300" simplePos="0" relativeHeight="251658243" behindDoc="1" locked="0" layoutInCell="1" allowOverlap="1" wp14:anchorId="24F3A8FA" wp14:editId="24F3A8FB">
          <wp:simplePos x="0" y="0"/>
          <wp:positionH relativeFrom="column">
            <wp:posOffset>-666750</wp:posOffset>
          </wp:positionH>
          <wp:positionV relativeFrom="page">
            <wp:posOffset>220345</wp:posOffset>
          </wp:positionV>
          <wp:extent cx="3279600" cy="1065600"/>
          <wp:effectExtent l="0" t="0" r="0" b="127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vpapper_TULLKUST_sidhuvud_96dpi.jpg"/>
                  <pic:cNvPicPr/>
                </pic:nvPicPr>
                <pic:blipFill>
                  <a:blip r:embed="rId1">
                    <a:extLst>
                      <a:ext uri="{28A0092B-C50C-407E-A947-70E740481C1C}">
                        <a14:useLocalDpi xmlns:a14="http://schemas.microsoft.com/office/drawing/2010/main" val="0"/>
                      </a:ext>
                    </a:extLst>
                  </a:blip>
                  <a:stretch>
                    <a:fillRect/>
                  </a:stretch>
                </pic:blipFill>
                <pic:spPr>
                  <a:xfrm>
                    <a:off x="0" y="0"/>
                    <a:ext cx="3279600" cy="1065600"/>
                  </a:xfrm>
                  <a:prstGeom prst="rect">
                    <a:avLst/>
                  </a:prstGeom>
                </pic:spPr>
              </pic:pic>
            </a:graphicData>
          </a:graphic>
        </wp:anchor>
      </w:drawing>
    </w:r>
    <w:r w:rsidR="004D79F8">
      <w:rPr>
        <w:noProof/>
        <w:lang w:eastAsia="sv-SE"/>
      </w:rPr>
      <w:pict w14:anchorId="24F3A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450015" o:spid="_x0000_s1025" type="#_x0000_t75" style="position:absolute;margin-left:0;margin-top:0;width:595.5pt;height:842.25pt;z-index:-251658240;mso-position-horizontal:center;mso-position-horizontal-relative:margin;mso-position-vertical:center;mso-position-vertical-relative:margin" o:allowincell="f">
          <v:imagedata r:id="rId2" o:title="Bakgrund brevmall_guld_liten grip och grind samt flyttad sidfot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86"/>
    <w:rsid w:val="000332BE"/>
    <w:rsid w:val="00055A5A"/>
    <w:rsid w:val="000666C1"/>
    <w:rsid w:val="000B454A"/>
    <w:rsid w:val="000B4F96"/>
    <w:rsid w:val="000C4AD1"/>
    <w:rsid w:val="000C6762"/>
    <w:rsid w:val="00116252"/>
    <w:rsid w:val="00130A25"/>
    <w:rsid w:val="00143466"/>
    <w:rsid w:val="00166DAA"/>
    <w:rsid w:val="001C6CE2"/>
    <w:rsid w:val="00202A63"/>
    <w:rsid w:val="00232218"/>
    <w:rsid w:val="00255144"/>
    <w:rsid w:val="00276ADB"/>
    <w:rsid w:val="0029404E"/>
    <w:rsid w:val="002D00DC"/>
    <w:rsid w:val="00311E26"/>
    <w:rsid w:val="00337ADF"/>
    <w:rsid w:val="00356DDF"/>
    <w:rsid w:val="00391C40"/>
    <w:rsid w:val="003B65DA"/>
    <w:rsid w:val="00427F80"/>
    <w:rsid w:val="00446272"/>
    <w:rsid w:val="00492B1F"/>
    <w:rsid w:val="004B485C"/>
    <w:rsid w:val="004D79F8"/>
    <w:rsid w:val="00506BC8"/>
    <w:rsid w:val="00524107"/>
    <w:rsid w:val="00554BBD"/>
    <w:rsid w:val="00583C7F"/>
    <w:rsid w:val="00586F0D"/>
    <w:rsid w:val="005F6DC9"/>
    <w:rsid w:val="006236BF"/>
    <w:rsid w:val="006358A3"/>
    <w:rsid w:val="00640284"/>
    <w:rsid w:val="00653FFC"/>
    <w:rsid w:val="00672D6D"/>
    <w:rsid w:val="006C2E89"/>
    <w:rsid w:val="006C50CA"/>
    <w:rsid w:val="006D2E54"/>
    <w:rsid w:val="006D555C"/>
    <w:rsid w:val="006F28CB"/>
    <w:rsid w:val="0071048F"/>
    <w:rsid w:val="007512BE"/>
    <w:rsid w:val="007F1856"/>
    <w:rsid w:val="008475F1"/>
    <w:rsid w:val="008A630B"/>
    <w:rsid w:val="008A7D19"/>
    <w:rsid w:val="008F48D4"/>
    <w:rsid w:val="0090190D"/>
    <w:rsid w:val="00944293"/>
    <w:rsid w:val="009650B1"/>
    <w:rsid w:val="00966EA1"/>
    <w:rsid w:val="0097394C"/>
    <w:rsid w:val="00987AD7"/>
    <w:rsid w:val="009A7C34"/>
    <w:rsid w:val="009D0077"/>
    <w:rsid w:val="009E437A"/>
    <w:rsid w:val="00A03008"/>
    <w:rsid w:val="00A21337"/>
    <w:rsid w:val="00A23E58"/>
    <w:rsid w:val="00A662F6"/>
    <w:rsid w:val="00A81241"/>
    <w:rsid w:val="00AA7767"/>
    <w:rsid w:val="00AC4618"/>
    <w:rsid w:val="00B34EEE"/>
    <w:rsid w:val="00B76915"/>
    <w:rsid w:val="00BA5D86"/>
    <w:rsid w:val="00BC6054"/>
    <w:rsid w:val="00C07D51"/>
    <w:rsid w:val="00C13F60"/>
    <w:rsid w:val="00C14E1D"/>
    <w:rsid w:val="00C169A0"/>
    <w:rsid w:val="00CA2126"/>
    <w:rsid w:val="00CC7BA4"/>
    <w:rsid w:val="00CE5092"/>
    <w:rsid w:val="00D04DE2"/>
    <w:rsid w:val="00D136CE"/>
    <w:rsid w:val="00D4484E"/>
    <w:rsid w:val="00E26EC0"/>
    <w:rsid w:val="00E615A0"/>
    <w:rsid w:val="00ED7860"/>
    <w:rsid w:val="00F73BB0"/>
    <w:rsid w:val="00F9110E"/>
    <w:rsid w:val="00FC6135"/>
    <w:rsid w:val="00FD2683"/>
    <w:rsid w:val="00FD6E42"/>
    <w:rsid w:val="00FF5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3A8D7"/>
  <w15:docId w15:val="{6D52EA51-033E-4796-9AFB-2D06397A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84E"/>
    <w:rPr>
      <w:rFonts w:ascii="Georgia" w:hAnsi="Georg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C2E89"/>
    <w:pPr>
      <w:tabs>
        <w:tab w:val="center" w:pos="4536"/>
        <w:tab w:val="right" w:pos="9072"/>
      </w:tabs>
      <w:spacing w:after="0" w:line="240" w:lineRule="auto"/>
    </w:pPr>
    <w:rPr>
      <w:rFonts w:asciiTheme="minorHAnsi" w:hAnsiTheme="minorHAnsi"/>
    </w:rPr>
  </w:style>
  <w:style w:type="character" w:customStyle="1" w:styleId="SidhuvudChar">
    <w:name w:val="Sidhuvud Char"/>
    <w:basedOn w:val="Standardstycketeckensnitt"/>
    <w:link w:val="Sidhuvud"/>
    <w:uiPriority w:val="99"/>
    <w:rsid w:val="006C2E89"/>
  </w:style>
  <w:style w:type="paragraph" w:styleId="Sidfot">
    <w:name w:val="footer"/>
    <w:basedOn w:val="Normal"/>
    <w:link w:val="SidfotChar"/>
    <w:uiPriority w:val="99"/>
    <w:unhideWhenUsed/>
    <w:rsid w:val="006C2E89"/>
    <w:pPr>
      <w:tabs>
        <w:tab w:val="center" w:pos="4536"/>
        <w:tab w:val="right" w:pos="9072"/>
      </w:tabs>
      <w:spacing w:after="0" w:line="240" w:lineRule="auto"/>
    </w:pPr>
    <w:rPr>
      <w:rFonts w:asciiTheme="minorHAnsi" w:hAnsiTheme="minorHAnsi"/>
    </w:rPr>
  </w:style>
  <w:style w:type="character" w:customStyle="1" w:styleId="SidfotChar">
    <w:name w:val="Sidfot Char"/>
    <w:basedOn w:val="Standardstycketeckensnitt"/>
    <w:link w:val="Sidfot"/>
    <w:uiPriority w:val="99"/>
    <w:rsid w:val="006C2E89"/>
  </w:style>
  <w:style w:type="paragraph" w:styleId="Revision">
    <w:name w:val="Revision"/>
    <w:hidden/>
    <w:uiPriority w:val="99"/>
    <w:semiHidden/>
    <w:rsid w:val="00A03008"/>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A8E730BAE4BA439B467267608DE5CB" ma:contentTypeVersion="12" ma:contentTypeDescription="Opret et nyt dokument." ma:contentTypeScope="" ma:versionID="25c824efce0faadd70038b0e23161c45">
  <xsd:schema xmlns:xsd="http://www.w3.org/2001/XMLSchema" xmlns:xs="http://www.w3.org/2001/XMLSchema" xmlns:p="http://schemas.microsoft.com/office/2006/metadata/properties" xmlns:ns2="5d149ce9-b70a-45dd-945f-3c55c0a993f8" xmlns:ns3="e7557954-4761-4bbd-b239-90efa5b4fdff" targetNamespace="http://schemas.microsoft.com/office/2006/metadata/properties" ma:root="true" ma:fieldsID="3cbedee9498b45684946cdd013935fb8" ns2:_="" ns3:_="">
    <xsd:import namespace="5d149ce9-b70a-45dd-945f-3c55c0a993f8"/>
    <xsd:import namespace="e7557954-4761-4bbd-b239-90efa5b4fd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49ce9-b70a-45dd-945f-3c55c0a9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557954-4761-4bbd-b239-90efa5b4fdff"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5735F-5D8D-429B-99BB-190E45001D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B362B2-11DF-48B9-9A64-4E20B57C32BD}">
  <ds:schemaRefs>
    <ds:schemaRef ds:uri="http://schemas.microsoft.com/sharepoint/v3/contenttype/forms"/>
  </ds:schemaRefs>
</ds:datastoreItem>
</file>

<file path=customXml/itemProps3.xml><?xml version="1.0" encoding="utf-8"?>
<ds:datastoreItem xmlns:ds="http://schemas.openxmlformats.org/officeDocument/2006/customXml" ds:itemID="{2DC5BA36-5945-4142-ACFB-1FEAD513B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49ce9-b70a-45dd-945f-3c55c0a993f8"/>
    <ds:schemaRef ds:uri="e7557954-4761-4bbd-b239-90efa5b4f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687</Words>
  <Characters>3922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dc:creator>
  <cp:keywords/>
  <cp:lastModifiedBy>Frida Jakobsson</cp:lastModifiedBy>
  <cp:revision>71</cp:revision>
  <dcterms:created xsi:type="dcterms:W3CDTF">2021-02-17T21:25:00Z</dcterms:created>
  <dcterms:modified xsi:type="dcterms:W3CDTF">2022-02-27T17:10:00Z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0x010100DCA8E730BAE4BA439B467267608DE5CB</vt:lpwstr>
  </property>
</Properties>
</file>